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04/2019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Comissão de Controle Interno, constituída através de Portaria nº 05, de 16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novembro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2017,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recursos destinados a esta Edilidade,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foram repassados no importe 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de R$ 6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7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.100,00.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os repasses foram os seguintes, à saber: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33F29" w:rsidRPr="00D942B8" w:rsidRDefault="00C33F29" w:rsidP="00C33F2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INSS da Competência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Abril 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2019 foi Recolhido dentro do prazo no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2019 na importância de R$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12.270,20</w:t>
      </w:r>
      <w:r w:rsidRPr="00D942B8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E7108" w:rsidRPr="00C33F29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C33F29" w:rsidRDefault="004E7108" w:rsidP="00C33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abril as contas de “Depósitos” apresentaram um saldo total de R$ 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6.049,18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sendo que deste valor R$ 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5.834,31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são pertinentes a contribuições devidas ao INSS.</w:t>
      </w:r>
    </w:p>
    <w:p w:rsidR="004E7108" w:rsidRPr="00C33F29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Considerando que a dívida flutuante totalizou R$ 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9.468,88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podemos afirmar que a dívida da Câmara Municipal para com o Regime Geral de 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Previdência, via INSS – Instituto Nacional do Seguro Social, no total de R$ 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6.049,18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correspondem a </w:t>
      </w:r>
      <w:r w:rsidR="00C33F29"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63,88</w:t>
      </w:r>
      <w:r w:rsidRPr="00C33F29">
        <w:rPr>
          <w:rFonts w:ascii="Times New Roman" w:eastAsia="Times New Roman" w:hAnsi="Times New Roman" w:cs="Times New Roman"/>
          <w:sz w:val="28"/>
          <w:szCs w:val="28"/>
          <w:lang w:eastAsia="pt-BR"/>
        </w:rPr>
        <w:t>% da mesma.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33F29" w:rsidRPr="005B05D0" w:rsidRDefault="00C33F29" w:rsidP="00C33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Quanto aos restos a pagar consta registrado saldo em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30/04/2019</w:t>
      </w:r>
      <w:r w:rsidRPr="005B05D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da seguinte forma: R$ 2.407,60 Processados e R$ 1.012,10 Não Processados. Conforme demonstrado na tabela abaixo: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C33F29" w:rsidRPr="005B05D0" w:rsidRDefault="00C33F29" w:rsidP="00C33F29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5B05D0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Processados</w:t>
      </w:r>
    </w:p>
    <w:p w:rsidR="00C33F29" w:rsidRPr="005B05D0" w:rsidRDefault="00C33F29" w:rsidP="00C33F29">
      <w:pPr>
        <w:widowControl w:val="0"/>
        <w:autoSpaceDE w:val="0"/>
        <w:autoSpaceDN w:val="0"/>
        <w:spacing w:before="96" w:after="55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1 - 2009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4,27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315,33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7,80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2.078,12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1 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–</w:t>
            </w: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 xml:space="preserve"> 201</w:t>
            </w: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2,08</w:t>
            </w:r>
          </w:p>
        </w:tc>
      </w:tr>
      <w:tr w:rsidR="00C33F29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2.407,60</w:t>
            </w:r>
          </w:p>
        </w:tc>
      </w:tr>
    </w:tbl>
    <w:p w:rsidR="00C33F29" w:rsidRPr="00F07050" w:rsidRDefault="00C33F29" w:rsidP="00C33F29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Times New Roman" w:cs="Times New Roman"/>
          <w:sz w:val="28"/>
          <w:szCs w:val="28"/>
          <w:highlight w:val="yellow"/>
          <w:lang w:val="pt-PT" w:eastAsia="pt-PT" w:bidi="pt-PT"/>
        </w:rPr>
      </w:pPr>
    </w:p>
    <w:p w:rsidR="00C33F29" w:rsidRPr="00765AB9" w:rsidRDefault="00C33F29" w:rsidP="00C33F29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  <w:r w:rsidRPr="00765AB9"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  <w:t>Restos a Pagar Não Processados</w:t>
      </w:r>
    </w:p>
    <w:p w:rsidR="00C33F29" w:rsidRPr="00765AB9" w:rsidRDefault="00C33F29" w:rsidP="00C33F29">
      <w:pPr>
        <w:widowControl w:val="0"/>
        <w:autoSpaceDE w:val="0"/>
        <w:autoSpaceDN w:val="0"/>
        <w:spacing w:after="56" w:line="240" w:lineRule="auto"/>
        <w:ind w:left="163"/>
        <w:rPr>
          <w:rFonts w:ascii="Times New Roman" w:eastAsia="Arial" w:hAnsi="Times New Roman" w:cs="Times New Roman"/>
          <w:sz w:val="28"/>
          <w:szCs w:val="28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9"/>
        <w:gridCol w:w="992"/>
      </w:tblGrid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Título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Sal. Exerc. Anterior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Inscrição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Restab/Encamp.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Baixa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Cancel/Atribuição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Saldo p/ Exercício Seguinte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800,00</w:t>
            </w:r>
          </w:p>
        </w:tc>
      </w:tr>
      <w:tr w:rsidR="00C33F29" w:rsidRPr="00765AB9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1 - 2017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212,10</w:t>
            </w:r>
          </w:p>
        </w:tc>
      </w:tr>
      <w:tr w:rsidR="00C33F29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Subtotal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765AB9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765AB9">
              <w:rPr>
                <w:rFonts w:ascii="Arial" w:eastAsia="Arial" w:hAnsi="Arial" w:cs="Arial"/>
                <w:sz w:val="14"/>
                <w:lang w:val="pt-PT" w:eastAsia="pt-PT" w:bidi="pt-PT"/>
              </w:rPr>
              <w:t>1.012,10</w:t>
            </w:r>
          </w:p>
        </w:tc>
      </w:tr>
    </w:tbl>
    <w:p w:rsidR="00C33F29" w:rsidRPr="00F07050" w:rsidRDefault="00C33F29" w:rsidP="00C33F29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8"/>
          <w:szCs w:val="14"/>
          <w:highlight w:val="yellow"/>
          <w:lang w:val="pt-PT" w:eastAsia="pt-PT" w:bidi="pt-PT"/>
        </w:rPr>
      </w:pPr>
    </w:p>
    <w:tbl>
      <w:tblPr>
        <w:tblStyle w:val="TableNormal"/>
        <w:tblW w:w="9075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1248"/>
        <w:gridCol w:w="951"/>
        <w:gridCol w:w="1276"/>
        <w:gridCol w:w="847"/>
        <w:gridCol w:w="1276"/>
        <w:gridCol w:w="995"/>
      </w:tblGrid>
      <w:tr w:rsidR="00C33F29" w:rsidRPr="00F07050" w:rsidTr="005C0D2C">
        <w:trPr>
          <w:trHeight w:val="211"/>
        </w:trPr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ind w:left="54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Soma dos Restos a Pagar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ind w:left="643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ind w:right="41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jc w:val="center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ind w:right="40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0,00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3F29" w:rsidRPr="005B05D0" w:rsidRDefault="00C33F29" w:rsidP="005C0D2C">
            <w:pPr>
              <w:spacing w:before="3"/>
              <w:jc w:val="right"/>
              <w:rPr>
                <w:rFonts w:ascii="Arial" w:eastAsia="Arial" w:hAnsi="Arial" w:cs="Arial"/>
                <w:sz w:val="14"/>
                <w:lang w:val="pt-PT" w:eastAsia="pt-PT" w:bidi="pt-PT"/>
              </w:rPr>
            </w:pPr>
            <w:r w:rsidRPr="005B05D0">
              <w:rPr>
                <w:rFonts w:ascii="Arial" w:eastAsia="Arial" w:hAnsi="Arial" w:cs="Arial"/>
                <w:sz w:val="14"/>
                <w:lang w:val="pt-PT" w:eastAsia="pt-PT" w:bidi="pt-PT"/>
              </w:rPr>
              <w:t>3.419,70</w:t>
            </w:r>
          </w:p>
        </w:tc>
      </w:tr>
    </w:tbl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C33F29" w:rsidRDefault="00C33F29" w:rsidP="00C33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No mês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abril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2019, foi feita Transferência financeira a Prefeitura de Coronel Pacheco a Titulo de Imposto de Renda retido dos Servidore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s e Vereadores da competência 04</w:t>
      </w:r>
      <w:r w:rsidRPr="005B05D0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/2019 no valor de R$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617,41;</w:t>
      </w:r>
    </w:p>
    <w:p w:rsidR="00C33F29" w:rsidRDefault="00C33F29" w:rsidP="00C33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Foi feito também transferência a titulo de Imposto de Renda retido de prestador de serviço no valor de R$ 101,55;</w:t>
      </w:r>
    </w:p>
    <w:p w:rsidR="00C33F29" w:rsidRPr="005B05D0" w:rsidRDefault="00C33F29" w:rsidP="00C33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titulo de Rentabilidade de Aplicação Financeira </w:t>
      </w:r>
      <w:r w:rsidR="00AF1131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dos períodos de Dezembro de 2018, Janeiro a Março de 2019 na importância de R$ 634,89.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13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Vale lembrar que as disponibilidades financeiras em abril de 2019 apresentaram um saldo de R$ </w:t>
      </w:r>
      <w:r w:rsidR="00AF1131" w:rsidRPr="00AF1131">
        <w:rPr>
          <w:rFonts w:ascii="Times New Roman" w:eastAsia="Times New Roman" w:hAnsi="Times New Roman" w:cs="Times New Roman"/>
          <w:sz w:val="28"/>
          <w:szCs w:val="28"/>
          <w:lang w:eastAsia="pt-BR"/>
        </w:rPr>
        <w:t>95.932,97</w:t>
      </w:r>
      <w:r w:rsidRPr="00AF1131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F46026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</w:t>
      </w:r>
      <w:r w:rsidR="004E7108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oram realizados gastos com publicidade institucional.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E7108" w:rsidRPr="00F07050" w:rsidRDefault="00C33F29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4E7108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:rsidR="004E7108" w:rsidRPr="00F07050" w:rsidRDefault="004E7108" w:rsidP="004E7108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4E7108" w:rsidRPr="00F07050" w:rsidTr="005761B2">
        <w:tc>
          <w:tcPr>
            <w:tcW w:w="2539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Pr="00F07050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lastRenderedPageBreak/>
              <w:t>Serviço de limpeza do prédio da Câmara Municipal</w:t>
            </w:r>
          </w:p>
        </w:tc>
        <w:tc>
          <w:tcPr>
            <w:tcW w:w="2567" w:type="dxa"/>
          </w:tcPr>
          <w:p w:rsidR="004E7108" w:rsidRPr="00F07050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:rsidR="004E7108" w:rsidRPr="00F07050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R$ 270</w:t>
            </w:r>
            <w:r w:rsidRPr="00F07050">
              <w:rPr>
                <w:rFonts w:ascii="Arial" w:eastAsia="Times New Roman" w:hAnsi="Arial" w:cs="Arial"/>
                <w:lang w:eastAsia="pt-BR"/>
              </w:rPr>
              <w:t>,00 (</w:t>
            </w:r>
            <w:r>
              <w:rPr>
                <w:rFonts w:ascii="Arial" w:eastAsia="Times New Roman" w:hAnsi="Arial" w:cs="Arial"/>
                <w:lang w:eastAsia="pt-BR"/>
              </w:rPr>
              <w:t>duzentos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lang w:eastAsia="pt-BR"/>
              </w:rPr>
              <w:t>setenta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23/04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Pr="00F07050" w:rsidRDefault="004E7108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material de copa e cozinha, alimentação</w:t>
            </w:r>
          </w:p>
        </w:tc>
        <w:tc>
          <w:tcPr>
            <w:tcW w:w="2567" w:type="dxa"/>
          </w:tcPr>
          <w:p w:rsidR="004E7108" w:rsidRPr="00F07050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Mercado Precioso LTDA</w:t>
            </w:r>
          </w:p>
        </w:tc>
        <w:tc>
          <w:tcPr>
            <w:tcW w:w="2150" w:type="dxa"/>
          </w:tcPr>
          <w:p w:rsidR="004E7108" w:rsidRPr="00F07050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158,24 (cento e cinquenta e oito reais e vinte quatro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F0705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04, 30/04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Pr="00F07050" w:rsidRDefault="004E7108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postal</w:t>
            </w:r>
          </w:p>
        </w:tc>
        <w:tc>
          <w:tcPr>
            <w:tcW w:w="2567" w:type="dxa"/>
          </w:tcPr>
          <w:p w:rsidR="004E7108" w:rsidRPr="00F07050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Correios</w:t>
            </w:r>
          </w:p>
        </w:tc>
        <w:tc>
          <w:tcPr>
            <w:tcW w:w="2150" w:type="dxa"/>
          </w:tcPr>
          <w:p w:rsidR="004E7108" w:rsidRPr="00F07050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 xml:space="preserve">R$ </w:t>
            </w:r>
            <w:r>
              <w:rPr>
                <w:rFonts w:ascii="Arial" w:eastAsia="Times New Roman" w:hAnsi="Arial" w:cs="Arial"/>
                <w:lang w:eastAsia="pt-BR"/>
              </w:rPr>
              <w:t>42,60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>quarenta e dois reais e sessenta centavos</w:t>
            </w:r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Pr="00F07050" w:rsidRDefault="004E7108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gênero alimentício</w:t>
            </w:r>
          </w:p>
        </w:tc>
        <w:tc>
          <w:tcPr>
            <w:tcW w:w="2567" w:type="dxa"/>
          </w:tcPr>
          <w:p w:rsidR="004E7108" w:rsidRPr="00F07050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Carlos Alberto Valério</w:t>
            </w:r>
          </w:p>
        </w:tc>
        <w:tc>
          <w:tcPr>
            <w:tcW w:w="2150" w:type="dxa"/>
          </w:tcPr>
          <w:p w:rsidR="004E7108" w:rsidRPr="00F07050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R$ 342,50</w:t>
            </w:r>
            <w:r w:rsidRPr="00F07050">
              <w:rPr>
                <w:rFonts w:ascii="Arial" w:eastAsia="Times New Roman" w:hAnsi="Arial" w:cs="Arial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lang w:eastAsia="pt-BR"/>
              </w:rPr>
              <w:t xml:space="preserve">trezentos e quarenta e dois reais e </w:t>
            </w:r>
            <w:proofErr w:type="gramStart"/>
            <w:r>
              <w:rPr>
                <w:rFonts w:ascii="Arial" w:eastAsia="Times New Roman" w:hAnsi="Arial" w:cs="Arial"/>
                <w:lang w:eastAsia="pt-BR"/>
              </w:rPr>
              <w:t>cinquenta  centavos</w:t>
            </w:r>
            <w:proofErr w:type="gramEnd"/>
            <w:r w:rsidRPr="00F07050"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:rsidR="004E7108" w:rsidRPr="00F07050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Default="004E7108" w:rsidP="005761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de informes</w:t>
            </w:r>
          </w:p>
        </w:tc>
        <w:tc>
          <w:tcPr>
            <w:tcW w:w="2567" w:type="dxa"/>
          </w:tcPr>
          <w:p w:rsidR="004E7108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Márcio Antônio Dornelas</w:t>
            </w:r>
          </w:p>
        </w:tc>
        <w:tc>
          <w:tcPr>
            <w:tcW w:w="2150" w:type="dxa"/>
          </w:tcPr>
          <w:p w:rsidR="004E7108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R$ 80,00 (oitenta reais)</w:t>
            </w:r>
          </w:p>
        </w:tc>
        <w:tc>
          <w:tcPr>
            <w:tcW w:w="1804" w:type="dxa"/>
          </w:tcPr>
          <w:p w:rsidR="004E7108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</w:t>
            </w:r>
          </w:p>
        </w:tc>
      </w:tr>
      <w:tr w:rsidR="004E7108" w:rsidRPr="00F07050" w:rsidTr="005761B2">
        <w:tc>
          <w:tcPr>
            <w:tcW w:w="2539" w:type="dxa"/>
          </w:tcPr>
          <w:p w:rsidR="004E7108" w:rsidRDefault="004E7108" w:rsidP="004E71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Placas de estojo aço inox homenagear atletas locais</w:t>
            </w:r>
          </w:p>
        </w:tc>
        <w:tc>
          <w:tcPr>
            <w:tcW w:w="2567" w:type="dxa"/>
          </w:tcPr>
          <w:p w:rsidR="004E7108" w:rsidRDefault="004E7108" w:rsidP="005761B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Gabriela Aparecida Barbosa Esteves</w:t>
            </w:r>
          </w:p>
        </w:tc>
        <w:tc>
          <w:tcPr>
            <w:tcW w:w="2150" w:type="dxa"/>
          </w:tcPr>
          <w:p w:rsidR="004E7108" w:rsidRDefault="004E7108" w:rsidP="004E7108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R$ 220,00 (duzentos e vinte reais)</w:t>
            </w:r>
          </w:p>
        </w:tc>
        <w:tc>
          <w:tcPr>
            <w:tcW w:w="1804" w:type="dxa"/>
          </w:tcPr>
          <w:p w:rsidR="004E7108" w:rsidRDefault="004E7108" w:rsidP="005761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16/04</w:t>
            </w:r>
          </w:p>
        </w:tc>
      </w:tr>
      <w:tr w:rsidR="00E30C65" w:rsidRPr="00F07050" w:rsidTr="005761B2">
        <w:tc>
          <w:tcPr>
            <w:tcW w:w="2539" w:type="dxa"/>
          </w:tcPr>
          <w:p w:rsidR="00E30C65" w:rsidRDefault="00E30C65" w:rsidP="00E30C6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Aquisição de fita antiderrapante para sede da Câmara</w:t>
            </w:r>
          </w:p>
        </w:tc>
        <w:tc>
          <w:tcPr>
            <w:tcW w:w="2567" w:type="dxa"/>
          </w:tcPr>
          <w:p w:rsidR="00E30C65" w:rsidRDefault="00E30C65" w:rsidP="00E30C6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RJD Materiais de Construção LTDA-ME</w:t>
            </w:r>
          </w:p>
        </w:tc>
        <w:tc>
          <w:tcPr>
            <w:tcW w:w="2150" w:type="dxa"/>
          </w:tcPr>
          <w:p w:rsidR="00E30C65" w:rsidRDefault="00E30C65" w:rsidP="00E30C65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R$ 100,00 (cem reais)</w:t>
            </w:r>
          </w:p>
        </w:tc>
        <w:tc>
          <w:tcPr>
            <w:tcW w:w="1804" w:type="dxa"/>
          </w:tcPr>
          <w:p w:rsidR="00E30C65" w:rsidRDefault="00E30C65" w:rsidP="00E30C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24/04</w:t>
            </w:r>
          </w:p>
        </w:tc>
      </w:tr>
    </w:tbl>
    <w:p w:rsidR="004E7108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Estão em execução os seguintes contratos de prestação de serviços continuados: contrato nº 01/2015 com 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hospedagem de site  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criação do site da Câmara Municipal, inserção de conteúdo e manutenção do portal com João Paulo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Beloti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Franco, CNPJ nº 21.271.664/0001-65.</w:t>
      </w:r>
    </w:p>
    <w:p w:rsidR="00F46026" w:rsidRDefault="00F46026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46026" w:rsidRPr="00F07050" w:rsidRDefault="00F46026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Foi realizado o quarto aditivo no contrato existente entre a Câmara Municipal e a Empresa Planejar Consultores Associados LTDA, para prorrogação de prazo e reajuste anual.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:rsidR="004E7108" w:rsidRPr="00F07050" w:rsidRDefault="004E7108" w:rsidP="004E710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:rsidR="004E7108" w:rsidRPr="00F07050" w:rsidRDefault="004E7108" w:rsidP="004E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:rsidR="00E56F8B" w:rsidRDefault="00E56F8B" w:rsidP="00E56F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E56F8B" w:rsidRPr="00F07050" w:rsidRDefault="00E56F8B" w:rsidP="00E56F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Conforme dispõe a Portaria da Câmara Municipal de Coronel Pacheco nº 10/2018, t</w:t>
      </w:r>
      <w:r w:rsidRPr="003B113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odas as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unidades administrativas da Câmara Municipal, Mesa Diretora, setor de contabilidade e tesouraria, setor de expediente, setor jurídico e comissões devem registrar, sob forma de protocolo, os documentos recebidos na Câmara Municipal, assinando o nome de quem o recebeu e a data do recebimento. Os documentos arquivados em pasta deverão ser organizados e numerados.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Toda a documentação da Câmara é mantida ordenadamente e cronologicamente em pastas.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abril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</w:t>
      </w:r>
      <w:r w:rsidR="00872183">
        <w:rPr>
          <w:rFonts w:ascii="Times New Roman" w:eastAsia="Times New Roman" w:hAnsi="Times New Roman" w:cs="Times New Roman"/>
          <w:sz w:val="28"/>
          <w:szCs w:val="28"/>
          <w:lang w:eastAsia="pt-BR"/>
        </w:rPr>
        <w:t>co, 03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872183">
        <w:rPr>
          <w:rFonts w:ascii="Times New Roman" w:eastAsia="Times New Roman" w:hAnsi="Times New Roman" w:cs="Times New Roman"/>
          <w:sz w:val="28"/>
          <w:szCs w:val="28"/>
          <w:lang w:eastAsia="pt-BR"/>
        </w:rPr>
        <w:t>maio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4E7108" w:rsidRPr="00F07050" w:rsidRDefault="004E7108" w:rsidP="004E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108" w:rsidRPr="00F07050" w:rsidRDefault="004E7108" w:rsidP="004E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108" w:rsidRPr="00F07050" w:rsidRDefault="004E7108" w:rsidP="004E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E7108" w:rsidRPr="00F07050" w:rsidRDefault="004E7108" w:rsidP="004E7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Marcos Aurélio Valério Venâncio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Ver. Eder Rodrigues Lopes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Juliana Angélica de Oliveira</w:t>
      </w:r>
    </w:p>
    <w:p w:rsidR="002D7B70" w:rsidRPr="00F07050" w:rsidRDefault="002D7B70" w:rsidP="002D7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  <w:bookmarkStart w:id="0" w:name="_GoBack"/>
      <w:bookmarkEnd w:id="0"/>
    </w:p>
    <w:sectPr w:rsidR="002D7B70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08"/>
    <w:rsid w:val="002D7B70"/>
    <w:rsid w:val="003E4030"/>
    <w:rsid w:val="0044468A"/>
    <w:rsid w:val="004E7108"/>
    <w:rsid w:val="005352DB"/>
    <w:rsid w:val="00872183"/>
    <w:rsid w:val="00941E3E"/>
    <w:rsid w:val="00AC0A8C"/>
    <w:rsid w:val="00AF1131"/>
    <w:rsid w:val="00C33F29"/>
    <w:rsid w:val="00E30C65"/>
    <w:rsid w:val="00E56F8B"/>
    <w:rsid w:val="00F4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83133-0092-4591-9FC6-02A76879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4E71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1171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7</cp:revision>
  <dcterms:created xsi:type="dcterms:W3CDTF">2019-09-06T19:10:00Z</dcterms:created>
  <dcterms:modified xsi:type="dcterms:W3CDTF">2019-09-10T19:50:00Z</dcterms:modified>
</cp:coreProperties>
</file>