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3C3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5396A0DF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11/2019</w:t>
      </w:r>
    </w:p>
    <w:p w14:paraId="54A66D77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FC261FF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02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F363F77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2D8B2D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21411A1C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D44A82" w14:textId="3AC79B15" w:rsidR="004C550F" w:rsidRPr="00F07050" w:rsidRDefault="004C550F" w:rsidP="004C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referente ao repasse de duodécimo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2967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de R$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61.000,00.</w:t>
      </w:r>
    </w:p>
    <w:p w14:paraId="0998534D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3C06772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774D5C46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D9DDCA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5A1E9208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D51C4A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47AB257D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BCA07C0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60981455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50FAF0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14:paraId="4EB79EE8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557FC53" w14:textId="240E2BC2" w:rsidR="000A7297" w:rsidRPr="004C550F" w:rsidRDefault="000A7297" w:rsidP="000A72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Novembro de 2019 foi Recolhido dentro do prazo no mês de Novembro de 2019 na importância de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11.250,23</w:t>
      </w: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4B77F862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5480A7BC" w14:textId="36FB629E" w:rsidR="000A7297" w:rsidRPr="004C550F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novembro as contas de “Depósitos” apresentaram um saldo total de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248,17</w:t>
      </w: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1,15 </w:t>
      </w: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são pertinentes a contribuições devidas ao INSS.</w:t>
      </w:r>
    </w:p>
    <w:p w14:paraId="66AFB2DB" w14:textId="77777777" w:rsidR="000A7297" w:rsidRPr="004C550F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31EB206" w14:textId="6850436D" w:rsidR="004C550F" w:rsidRPr="003F2165" w:rsidRDefault="000A7297" w:rsidP="004C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250,25</w:t>
      </w: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Previdência, via </w:t>
      </w: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INSS – Instituto Nacional do Seguro Social, no total de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1,15, </w:t>
      </w:r>
      <w:proofErr w:type="spellStart"/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sest</w:t>
      </w:r>
      <w:proofErr w:type="spellEnd"/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proofErr w:type="spellStart"/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senat</w:t>
      </w:r>
      <w:proofErr w:type="spellEnd"/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1,26; IRRF R$ </w:t>
      </w:r>
      <w:r w:rsidR="004C550F" w:rsidRPr="004C550F">
        <w:rPr>
          <w:rFonts w:ascii="Times New Roman" w:hAnsi="Times New Roman" w:cs="Times New Roman"/>
          <w:sz w:val="28"/>
          <w:szCs w:val="28"/>
        </w:rPr>
        <w:t>46,74; rentabilidade de aplicação financeira R$ 225,80; valores a regularizar R$ 19,87;</w:t>
      </w:r>
      <w:r w:rsidR="004C550F" w:rsidRPr="003F2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DFBD6" w14:textId="77777777" w:rsidR="000A7297" w:rsidRPr="007B18C2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9B9E9D" w14:textId="77777777" w:rsidR="004C550F" w:rsidRPr="003F2165" w:rsidRDefault="004C550F" w:rsidP="004C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30/09/2019 da seguinte forma: </w:t>
      </w:r>
    </w:p>
    <w:p w14:paraId="7220D4BC" w14:textId="77777777" w:rsidR="004C550F" w:rsidRPr="003F2165" w:rsidRDefault="004C550F" w:rsidP="004C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08E191E" w14:textId="77777777" w:rsidR="004C550F" w:rsidRPr="003F2165" w:rsidRDefault="004C550F" w:rsidP="004C550F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3F2165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14:paraId="16669899" w14:textId="77777777" w:rsidR="004C550F" w:rsidRPr="003F2165" w:rsidRDefault="004C550F" w:rsidP="004C550F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C550F" w:rsidRPr="003F2165" w14:paraId="3ECBD668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F36E" w14:textId="77777777" w:rsidR="004C550F" w:rsidRPr="003F2165" w:rsidRDefault="004C550F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B89A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A650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3802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8E14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5795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9917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Saldo p/ Exercício Seguinte</w:t>
            </w:r>
          </w:p>
        </w:tc>
      </w:tr>
      <w:tr w:rsidR="004C550F" w:rsidRPr="003F2165" w14:paraId="19B2A230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D1F76" w14:textId="77777777" w:rsidR="004C550F" w:rsidRPr="003F2165" w:rsidRDefault="004C550F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1 – 2018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B6E1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09460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2163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285D7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56FC3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D3979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</w:tr>
      <w:tr w:rsidR="004C550F" w:rsidRPr="003F2165" w14:paraId="098D8FF6" w14:textId="77777777" w:rsidTr="00C4703B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4CCFF" w14:textId="77777777" w:rsidR="004C550F" w:rsidRPr="003F2165" w:rsidRDefault="004C550F" w:rsidP="00C4703B">
            <w:pPr>
              <w:spacing w:before="3"/>
              <w:ind w:left="54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9505E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CF832" w14:textId="77777777" w:rsidR="004C550F" w:rsidRPr="003F2165" w:rsidRDefault="004C550F" w:rsidP="00C4703B">
            <w:pPr>
              <w:spacing w:before="3"/>
              <w:ind w:right="41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6C09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F4EE5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24E75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98E0" w14:textId="77777777" w:rsidR="004C550F" w:rsidRPr="003F2165" w:rsidRDefault="004C550F" w:rsidP="00C4703B">
            <w:pPr>
              <w:spacing w:before="3"/>
              <w:ind w:right="4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</w:pPr>
            <w:r w:rsidRPr="003F2165">
              <w:rPr>
                <w:rFonts w:ascii="Times New Roman" w:eastAsia="Arial" w:hAnsi="Times New Roman" w:cs="Times New Roman"/>
                <w:sz w:val="28"/>
                <w:szCs w:val="28"/>
                <w:lang w:val="pt-PT" w:eastAsia="pt-PT" w:bidi="pt-PT"/>
              </w:rPr>
              <w:t>2,08</w:t>
            </w:r>
          </w:p>
        </w:tc>
      </w:tr>
    </w:tbl>
    <w:p w14:paraId="16D887E4" w14:textId="77777777" w:rsidR="004C550F" w:rsidRPr="003F2165" w:rsidRDefault="004C550F" w:rsidP="004C550F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p w14:paraId="0BE20029" w14:textId="45E26EE6" w:rsidR="004C550F" w:rsidRPr="003F2165" w:rsidRDefault="00FF15E6" w:rsidP="004C550F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       </w:t>
      </w:r>
      <w:r w:rsidR="004C550F" w:rsidRPr="003F2165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 xml:space="preserve">Restos a Pagar Não Processados   - </w:t>
      </w:r>
      <w:r w:rsidR="004C550F" w:rsidRPr="003F2165">
        <w:rPr>
          <w:rFonts w:ascii="Times New Roman" w:eastAsia="Times New Roman" w:hAnsi="Times New Roman" w:cs="Times New Roman"/>
          <w:sz w:val="28"/>
          <w:szCs w:val="28"/>
          <w:lang w:eastAsia="pt-BR"/>
        </w:rPr>
        <w:t>Não possui.</w:t>
      </w:r>
    </w:p>
    <w:p w14:paraId="3C5C5AD6" w14:textId="7111481D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14:paraId="443FA468" w14:textId="47D31308" w:rsidR="004C550F" w:rsidRDefault="004C550F" w:rsidP="004C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F21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Novembro</w:t>
      </w:r>
      <w:r w:rsidRPr="003F216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2019, foi feita Transferência financeira a Prefeitura de Coronel Pacheco a Título de Imposto de Renda retido em folha de agentes políticos e servidores e de prestadores de serviços e bem como a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Rentabilidade de aplicação financeira no valor de R$ </w:t>
      </w:r>
      <w:r w:rsidRPr="004C55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1.046,07</w:t>
      </w:r>
      <w:r w:rsidRPr="0029670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14:paraId="6877BBE7" w14:textId="77777777" w:rsidR="000A7297" w:rsidRPr="004C550F" w:rsidRDefault="000A7297" w:rsidP="004C5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70839A" w14:textId="1DB694D8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novembro de 2019 apresentaram um saldo de R$ </w:t>
      </w:r>
      <w:r w:rsidR="004C550F" w:rsidRPr="004C550F">
        <w:rPr>
          <w:rFonts w:ascii="Times New Roman" w:eastAsia="Times New Roman" w:hAnsi="Times New Roman" w:cs="Times New Roman"/>
          <w:sz w:val="28"/>
          <w:szCs w:val="28"/>
          <w:lang w:eastAsia="pt-BR"/>
        </w:rPr>
        <w:t>147.325,94.</w:t>
      </w:r>
    </w:p>
    <w:p w14:paraId="7B75A05B" w14:textId="1BF8D12F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28"/>
        <w:gridCol w:w="1628"/>
        <w:gridCol w:w="1580"/>
        <w:gridCol w:w="1360"/>
        <w:gridCol w:w="1360"/>
        <w:gridCol w:w="1360"/>
        <w:gridCol w:w="351"/>
      </w:tblGrid>
      <w:tr w:rsidR="004C550F" w:rsidRPr="004C550F" w14:paraId="6C1B485C" w14:textId="77777777" w:rsidTr="004C550F">
        <w:trPr>
          <w:trHeight w:val="255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46F" w14:textId="41A51321" w:rsidR="004C550F" w:rsidRPr="004C550F" w:rsidRDefault="004C550F" w:rsidP="004C550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Situação Financeira: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8ED" w14:textId="77777777" w:rsidR="004C550F" w:rsidRPr="004C550F" w:rsidRDefault="004C550F" w:rsidP="004C550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6A7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43D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49E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FEC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C550F" w:rsidRPr="004C550F" w14:paraId="778AD101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35A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0D1F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279E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AB91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CB58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FB793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25C9E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78D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C550F" w:rsidRPr="004C550F" w14:paraId="7A7BC7A7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9D4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C43D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Situação em 30/11/2019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10CE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494F7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9164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4BA5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A1F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C550F" w:rsidRPr="004C550F" w14:paraId="7A9AEA63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D30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4D74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1 - Ativo Financeiro Disponível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2E15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DEC1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729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4997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148.022,24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A73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68C62DC3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54A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BF5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2 - Valores Compromissados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910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33D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605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3C4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696,30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76E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7559A6FC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3C6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5EA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Recursos do Exercício de 2018 a devolver para a Prefeitura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AB0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1BE6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59B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7F02D9AF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CEC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873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Restos a Pagar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EE4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5DF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C12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323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5BF7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048CF094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F4D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937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Saldo de Depósitos/Consignações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719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02B0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F427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248,17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4A52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6BC25360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781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A02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Despesa Liquidada a Pagar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6C5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773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658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79A4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446,05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317" w14:textId="77777777" w:rsidR="004C550F" w:rsidRPr="004C550F" w:rsidRDefault="004C550F" w:rsidP="004C550F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5AD1886D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8AFB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17177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3 - Coeficiente de Liquidez </w:t>
            </w:r>
            <w:proofErr w:type="gramStart"/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/ 2 )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9123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BA50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7DA8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73C4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212,58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8F5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4C55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ok</w:t>
            </w:r>
            <w:proofErr w:type="gramEnd"/>
          </w:p>
        </w:tc>
      </w:tr>
      <w:tr w:rsidR="004C550F" w:rsidRPr="004C550F" w14:paraId="4050BA37" w14:textId="77777777" w:rsidTr="004C550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D3E" w14:textId="77777777" w:rsidR="004C550F" w:rsidRPr="004C550F" w:rsidRDefault="004C550F" w:rsidP="004C5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1EFBA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4 - Disponibilidade financeira </w:t>
            </w:r>
            <w:proofErr w:type="gramStart"/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( 1</w:t>
            </w:r>
            <w:proofErr w:type="gramEnd"/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- 2 )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81FF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DBCB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D184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7578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550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147.325,94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F21" w14:textId="77777777" w:rsidR="004C550F" w:rsidRPr="004C550F" w:rsidRDefault="004C550F" w:rsidP="004C55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C550F" w:rsidRPr="004C550F" w14:paraId="2FDC45E2" w14:textId="77777777" w:rsidTr="004C550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91A" w14:textId="77777777" w:rsidR="004C550F" w:rsidRPr="004C550F" w:rsidRDefault="004C550F" w:rsidP="004C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493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C55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Nota:  O Coeficiente de Liquidez indica quantos reais existem imediatamente disponíveis para pagar cada R$ 1,00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E9B" w14:textId="77777777" w:rsidR="004C550F" w:rsidRPr="004C550F" w:rsidRDefault="004C550F" w:rsidP="004C5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2D86D9D" w14:textId="77777777" w:rsidR="004C550F" w:rsidRPr="00F07050" w:rsidRDefault="004C550F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A95B519" w14:textId="77777777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AC5363D" w14:textId="77777777" w:rsidR="00FF15E6" w:rsidRPr="00F07050" w:rsidRDefault="00FF15E6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C516B9C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2A99E5E3" w14:textId="77777777" w:rsidR="000A7297" w:rsidRPr="00F07050" w:rsidRDefault="000A7297" w:rsidP="000A72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0A7297" w:rsidRPr="00F07050" w14:paraId="3791B4BF" w14:textId="77777777" w:rsidTr="00B1091F">
        <w:tc>
          <w:tcPr>
            <w:tcW w:w="2539" w:type="dxa"/>
          </w:tcPr>
          <w:p w14:paraId="6D15015D" w14:textId="77777777" w:rsidR="000A7297" w:rsidRPr="00F07050" w:rsidRDefault="000A7297" w:rsidP="00B1091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59E24D10" w14:textId="77777777" w:rsidR="000A7297" w:rsidRPr="00F07050" w:rsidRDefault="000A7297" w:rsidP="00B1091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59B33774" w14:textId="77777777" w:rsidR="000A7297" w:rsidRPr="00F07050" w:rsidRDefault="000A7297" w:rsidP="00B1091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4B633269" w14:textId="77777777" w:rsidR="000A7297" w:rsidRPr="00F07050" w:rsidRDefault="000A7297" w:rsidP="00B1091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0A7297" w:rsidRPr="00F07050" w14:paraId="53EAF73A" w14:textId="77777777" w:rsidTr="00B1091F">
        <w:tc>
          <w:tcPr>
            <w:tcW w:w="2539" w:type="dxa"/>
          </w:tcPr>
          <w:p w14:paraId="6BCFCB9E" w14:textId="77777777" w:rsidR="000A7297" w:rsidRPr="00F07050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1DC34A23" w14:textId="77777777" w:rsidR="000A7297" w:rsidRPr="00F07050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7FFDD2E" w14:textId="77777777" w:rsidR="000A7297" w:rsidRPr="00F07050" w:rsidRDefault="000A7297" w:rsidP="00B1091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setenta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5DD51DF4" w14:textId="77777777" w:rsidR="000A7297" w:rsidRPr="00F07050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06/11, 25/11</w:t>
            </w:r>
          </w:p>
        </w:tc>
      </w:tr>
      <w:tr w:rsidR="000A7297" w:rsidRPr="00F07050" w14:paraId="63872D16" w14:textId="77777777" w:rsidTr="00B1091F">
        <w:tc>
          <w:tcPr>
            <w:tcW w:w="2539" w:type="dxa"/>
          </w:tcPr>
          <w:p w14:paraId="781B40E3" w14:textId="77777777" w:rsidR="000A7297" w:rsidRPr="00F07050" w:rsidRDefault="000A7297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14:paraId="489535FB" w14:textId="77777777" w:rsidR="000A7297" w:rsidRPr="00F07050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14:paraId="1F44BF38" w14:textId="77777777" w:rsidR="000A7297" w:rsidRPr="00F07050" w:rsidRDefault="000A7297" w:rsidP="00A137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A1378F">
              <w:rPr>
                <w:rFonts w:ascii="Arial" w:eastAsia="Times New Roman" w:hAnsi="Arial" w:cs="Arial"/>
                <w:lang w:eastAsia="pt-BR"/>
              </w:rPr>
              <w:t>52,95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A1378F">
              <w:rPr>
                <w:rFonts w:ascii="Arial" w:eastAsia="Times New Roman" w:hAnsi="Arial" w:cs="Arial"/>
                <w:lang w:eastAsia="pt-BR"/>
              </w:rPr>
              <w:t>cinquenta e dois reais e noventa e cinco</w:t>
            </w:r>
            <w:r>
              <w:rPr>
                <w:rFonts w:ascii="Arial" w:eastAsia="Times New Roman" w:hAnsi="Arial" w:cs="Arial"/>
                <w:lang w:eastAsia="pt-BR"/>
              </w:rPr>
              <w:t xml:space="preserve">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2B688370" w14:textId="77777777" w:rsidR="000A7297" w:rsidRPr="00F07050" w:rsidRDefault="00A1378F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A7297">
              <w:rPr>
                <w:rFonts w:ascii="Arial" w:hAnsi="Arial" w:cs="Arial"/>
              </w:rPr>
              <w:t>/10</w:t>
            </w:r>
          </w:p>
        </w:tc>
      </w:tr>
      <w:tr w:rsidR="000A7297" w:rsidRPr="00F07050" w14:paraId="3E3DF884" w14:textId="77777777" w:rsidTr="00B1091F">
        <w:tc>
          <w:tcPr>
            <w:tcW w:w="2539" w:type="dxa"/>
          </w:tcPr>
          <w:p w14:paraId="53D9972F" w14:textId="77777777" w:rsidR="000A7297" w:rsidRDefault="000A7297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alimentação para o dia da reunião do plenário</w:t>
            </w:r>
          </w:p>
        </w:tc>
        <w:tc>
          <w:tcPr>
            <w:tcW w:w="2567" w:type="dxa"/>
          </w:tcPr>
          <w:p w14:paraId="5D89B905" w14:textId="77777777" w:rsidR="000A7297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14:paraId="078BD195" w14:textId="77777777" w:rsidR="000A7297" w:rsidRDefault="00A1378F" w:rsidP="00D65B1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R$ 48</w:t>
            </w:r>
            <w:r w:rsidR="000A7297">
              <w:rPr>
                <w:rFonts w:ascii="Arial" w:eastAsia="Times New Roman" w:hAnsi="Arial" w:cs="Arial"/>
                <w:lang w:eastAsia="pt-BR"/>
              </w:rPr>
              <w:t xml:space="preserve">2,00 (quatrocentos e </w:t>
            </w:r>
            <w:r>
              <w:rPr>
                <w:rFonts w:ascii="Arial" w:eastAsia="Times New Roman" w:hAnsi="Arial" w:cs="Arial"/>
                <w:lang w:eastAsia="pt-BR"/>
              </w:rPr>
              <w:t>oitenta</w:t>
            </w:r>
            <w:r w:rsidR="000A7297">
              <w:rPr>
                <w:rFonts w:ascii="Arial" w:eastAsia="Times New Roman" w:hAnsi="Arial" w:cs="Arial"/>
                <w:lang w:eastAsia="pt-BR"/>
              </w:rPr>
              <w:t xml:space="preserve"> e dois reais)</w:t>
            </w:r>
          </w:p>
        </w:tc>
        <w:tc>
          <w:tcPr>
            <w:tcW w:w="1804" w:type="dxa"/>
          </w:tcPr>
          <w:p w14:paraId="19F3EFA9" w14:textId="77777777" w:rsidR="000A7297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</w:t>
            </w:r>
          </w:p>
        </w:tc>
      </w:tr>
      <w:tr w:rsidR="000A7297" w14:paraId="4894310F" w14:textId="77777777" w:rsidTr="00B1091F">
        <w:tc>
          <w:tcPr>
            <w:tcW w:w="2539" w:type="dxa"/>
          </w:tcPr>
          <w:p w14:paraId="6A73BCC9" w14:textId="77777777" w:rsidR="000A7297" w:rsidRDefault="000A7297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material de limpeza e produtos alimentícios</w:t>
            </w:r>
          </w:p>
        </w:tc>
        <w:tc>
          <w:tcPr>
            <w:tcW w:w="2567" w:type="dxa"/>
          </w:tcPr>
          <w:p w14:paraId="751E6D3E" w14:textId="77777777" w:rsidR="000A7297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14:paraId="2B51D7E3" w14:textId="77777777" w:rsidR="000A7297" w:rsidRDefault="000A7297" w:rsidP="000A7297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R$ 287,50 (duzentos e oitenta e sete reais e cinquenta centavos)</w:t>
            </w:r>
          </w:p>
        </w:tc>
        <w:tc>
          <w:tcPr>
            <w:tcW w:w="1804" w:type="dxa"/>
          </w:tcPr>
          <w:p w14:paraId="7DD3FCBF" w14:textId="77777777" w:rsidR="000A7297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</w:t>
            </w:r>
          </w:p>
        </w:tc>
      </w:tr>
      <w:tr w:rsidR="000A7297" w14:paraId="57E31BE6" w14:textId="77777777" w:rsidTr="00B1091F">
        <w:tc>
          <w:tcPr>
            <w:tcW w:w="2539" w:type="dxa"/>
          </w:tcPr>
          <w:p w14:paraId="782AE815" w14:textId="77777777" w:rsidR="000A7297" w:rsidRDefault="00A1378F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 de dedetização </w:t>
            </w:r>
          </w:p>
        </w:tc>
        <w:tc>
          <w:tcPr>
            <w:tcW w:w="2567" w:type="dxa"/>
          </w:tcPr>
          <w:p w14:paraId="21167374" w14:textId="77777777" w:rsidR="000A7297" w:rsidRDefault="00A1378F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Samara Almeida Silva</w:t>
            </w:r>
          </w:p>
        </w:tc>
        <w:tc>
          <w:tcPr>
            <w:tcW w:w="2150" w:type="dxa"/>
          </w:tcPr>
          <w:p w14:paraId="7557EC80" w14:textId="77777777" w:rsidR="000A7297" w:rsidRDefault="000A7297" w:rsidP="00A137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</w:t>
            </w:r>
            <w:r w:rsidR="00A1378F">
              <w:rPr>
                <w:rFonts w:ascii="Arial" w:eastAsia="Times New Roman" w:hAnsi="Arial" w:cs="Arial"/>
                <w:lang w:eastAsia="pt-BR"/>
              </w:rPr>
              <w:t>.600</w:t>
            </w:r>
            <w:r>
              <w:rPr>
                <w:rFonts w:ascii="Arial" w:eastAsia="Times New Roman" w:hAnsi="Arial" w:cs="Arial"/>
                <w:lang w:eastAsia="pt-BR"/>
              </w:rPr>
              <w:t>,00 (</w:t>
            </w:r>
            <w:r w:rsidR="00A1378F">
              <w:rPr>
                <w:rFonts w:ascii="Arial" w:eastAsia="Times New Roman" w:hAnsi="Arial" w:cs="Arial"/>
                <w:lang w:eastAsia="pt-BR"/>
              </w:rPr>
              <w:t>mil e seiscentos</w:t>
            </w:r>
            <w:r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4918CFA7" w14:textId="77777777" w:rsidR="000A7297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378F">
              <w:rPr>
                <w:rFonts w:ascii="Arial" w:hAnsi="Arial" w:cs="Arial"/>
              </w:rPr>
              <w:t>0/11</w:t>
            </w:r>
          </w:p>
        </w:tc>
      </w:tr>
      <w:tr w:rsidR="000A7297" w14:paraId="6E01C1E0" w14:textId="77777777" w:rsidTr="00B1091F">
        <w:tc>
          <w:tcPr>
            <w:tcW w:w="2539" w:type="dxa"/>
          </w:tcPr>
          <w:p w14:paraId="3EB2256A" w14:textId="77777777" w:rsidR="000A7297" w:rsidRDefault="00A1378F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Prestação de serviço de curso para capacitação de servidor</w:t>
            </w:r>
          </w:p>
        </w:tc>
        <w:tc>
          <w:tcPr>
            <w:tcW w:w="2567" w:type="dxa"/>
          </w:tcPr>
          <w:p w14:paraId="53522BB3" w14:textId="77777777" w:rsidR="000A7297" w:rsidRDefault="00A1378F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Logus Assessoria e Consultoria Pública LTDA</w:t>
            </w:r>
          </w:p>
        </w:tc>
        <w:tc>
          <w:tcPr>
            <w:tcW w:w="2150" w:type="dxa"/>
          </w:tcPr>
          <w:p w14:paraId="126343DA" w14:textId="77777777" w:rsidR="000A7297" w:rsidRDefault="000A7297" w:rsidP="00A137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A1378F">
              <w:rPr>
                <w:rFonts w:ascii="Arial" w:eastAsia="Times New Roman" w:hAnsi="Arial" w:cs="Arial"/>
                <w:lang w:eastAsia="pt-BR"/>
              </w:rPr>
              <w:t>660</w:t>
            </w:r>
            <w:r>
              <w:rPr>
                <w:rFonts w:ascii="Arial" w:eastAsia="Times New Roman" w:hAnsi="Arial" w:cs="Arial"/>
                <w:lang w:eastAsia="pt-BR"/>
              </w:rPr>
              <w:t>,00 (</w:t>
            </w:r>
            <w:r w:rsidR="00A1378F">
              <w:rPr>
                <w:rFonts w:ascii="Arial" w:eastAsia="Times New Roman" w:hAnsi="Arial" w:cs="Arial"/>
                <w:lang w:eastAsia="pt-BR"/>
              </w:rPr>
              <w:t>seiscentos e sessenta</w:t>
            </w:r>
            <w:r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052EC329" w14:textId="77777777" w:rsidR="000A7297" w:rsidRDefault="00A1378F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</w:t>
            </w:r>
          </w:p>
        </w:tc>
      </w:tr>
      <w:tr w:rsidR="000A7297" w14:paraId="213DF220" w14:textId="77777777" w:rsidTr="00B1091F">
        <w:tc>
          <w:tcPr>
            <w:tcW w:w="2539" w:type="dxa"/>
          </w:tcPr>
          <w:p w14:paraId="5477A13D" w14:textId="77777777" w:rsidR="000A7297" w:rsidRDefault="000A7297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placa de mesa de Vereador</w:t>
            </w:r>
          </w:p>
        </w:tc>
        <w:tc>
          <w:tcPr>
            <w:tcW w:w="2567" w:type="dxa"/>
          </w:tcPr>
          <w:p w14:paraId="0C718C89" w14:textId="77777777" w:rsidR="000A7297" w:rsidRDefault="000A7297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Eduardo Hudson de Oliveira Lamas - ME</w:t>
            </w:r>
          </w:p>
        </w:tc>
        <w:tc>
          <w:tcPr>
            <w:tcW w:w="2150" w:type="dxa"/>
          </w:tcPr>
          <w:p w14:paraId="7B292268" w14:textId="77777777" w:rsidR="000A7297" w:rsidRDefault="000A7297" w:rsidP="00B1091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R$ 90,00 (noventa reais)</w:t>
            </w:r>
          </w:p>
        </w:tc>
        <w:tc>
          <w:tcPr>
            <w:tcW w:w="1804" w:type="dxa"/>
          </w:tcPr>
          <w:p w14:paraId="7419EA49" w14:textId="77777777" w:rsidR="000A7297" w:rsidRDefault="00A1378F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</w:t>
            </w:r>
          </w:p>
        </w:tc>
      </w:tr>
      <w:tr w:rsidR="000A7297" w14:paraId="58252656" w14:textId="77777777" w:rsidTr="00B1091F">
        <w:tc>
          <w:tcPr>
            <w:tcW w:w="2539" w:type="dxa"/>
          </w:tcPr>
          <w:p w14:paraId="607E75FD" w14:textId="77777777" w:rsidR="000A7297" w:rsidRDefault="000A7297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</w:t>
            </w:r>
            <w:r w:rsidR="00A1378F">
              <w:rPr>
                <w:rFonts w:ascii="Arial" w:hAnsi="Arial" w:cs="Arial"/>
              </w:rPr>
              <w:t xml:space="preserve"> de material para reparo do prédio da Câmara Municipal e fio para instalação de ar condicionado</w:t>
            </w:r>
          </w:p>
        </w:tc>
        <w:tc>
          <w:tcPr>
            <w:tcW w:w="2567" w:type="dxa"/>
          </w:tcPr>
          <w:p w14:paraId="6E8145DF" w14:textId="77777777" w:rsidR="000A7297" w:rsidRDefault="00A1378F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Amaral Materiais de Construção LTDA-ME</w:t>
            </w:r>
          </w:p>
        </w:tc>
        <w:tc>
          <w:tcPr>
            <w:tcW w:w="2150" w:type="dxa"/>
          </w:tcPr>
          <w:p w14:paraId="7062697B" w14:textId="77777777" w:rsidR="000A7297" w:rsidRDefault="000A7297" w:rsidP="00A137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A1378F">
              <w:rPr>
                <w:rFonts w:ascii="Arial" w:eastAsia="Times New Roman" w:hAnsi="Arial" w:cs="Arial"/>
                <w:lang w:eastAsia="pt-BR"/>
              </w:rPr>
              <w:t>309,50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A1378F">
              <w:rPr>
                <w:rFonts w:ascii="Arial" w:eastAsia="Times New Roman" w:hAnsi="Arial" w:cs="Arial"/>
                <w:lang w:eastAsia="pt-BR"/>
              </w:rPr>
              <w:t>trezentos e nove</w:t>
            </w:r>
            <w:r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0A757C10" w14:textId="77777777" w:rsidR="000A7297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1378F">
              <w:rPr>
                <w:rFonts w:ascii="Arial" w:hAnsi="Arial" w:cs="Arial"/>
              </w:rPr>
              <w:t>1/11</w:t>
            </w:r>
          </w:p>
        </w:tc>
      </w:tr>
      <w:tr w:rsidR="000A7297" w14:paraId="57057B47" w14:textId="77777777" w:rsidTr="00B1091F">
        <w:tc>
          <w:tcPr>
            <w:tcW w:w="2539" w:type="dxa"/>
          </w:tcPr>
          <w:p w14:paraId="243C97BF" w14:textId="77777777" w:rsidR="000A7297" w:rsidRDefault="00D65B12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Conserto e manutenção do ar condicionado</w:t>
            </w:r>
          </w:p>
        </w:tc>
        <w:tc>
          <w:tcPr>
            <w:tcW w:w="2567" w:type="dxa"/>
          </w:tcPr>
          <w:p w14:paraId="43964072" w14:textId="77777777" w:rsidR="000A7297" w:rsidRDefault="00D65B12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Ederson de Oliveira Afonso</w:t>
            </w:r>
          </w:p>
        </w:tc>
        <w:tc>
          <w:tcPr>
            <w:tcW w:w="2150" w:type="dxa"/>
          </w:tcPr>
          <w:p w14:paraId="763328E2" w14:textId="77777777" w:rsidR="000A7297" w:rsidRDefault="00D65B12" w:rsidP="00D65B1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R$ 550</w:t>
            </w:r>
            <w:r w:rsidR="000A7297">
              <w:rPr>
                <w:rFonts w:ascii="Arial" w:eastAsia="Times New Roman" w:hAnsi="Arial" w:cs="Arial"/>
                <w:lang w:eastAsia="pt-BR"/>
              </w:rPr>
              <w:t xml:space="preserve">,00 (quinhentos e </w:t>
            </w:r>
            <w:r>
              <w:rPr>
                <w:rFonts w:ascii="Arial" w:eastAsia="Times New Roman" w:hAnsi="Arial" w:cs="Arial"/>
                <w:lang w:eastAsia="pt-BR"/>
              </w:rPr>
              <w:t xml:space="preserve">cinquenta </w:t>
            </w:r>
            <w:r w:rsidR="000A7297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14:paraId="23B44D48" w14:textId="77777777" w:rsidR="000A7297" w:rsidRDefault="00D65B12" w:rsidP="00D65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A7297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1</w:t>
            </w:r>
          </w:p>
        </w:tc>
      </w:tr>
      <w:tr w:rsidR="000A7297" w14:paraId="3D69F542" w14:textId="77777777" w:rsidTr="00B1091F">
        <w:tc>
          <w:tcPr>
            <w:tcW w:w="2539" w:type="dxa"/>
          </w:tcPr>
          <w:p w14:paraId="08572E82" w14:textId="77777777" w:rsidR="000A7297" w:rsidRDefault="00D65B12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Multifuncional</w:t>
            </w:r>
          </w:p>
        </w:tc>
        <w:tc>
          <w:tcPr>
            <w:tcW w:w="2567" w:type="dxa"/>
          </w:tcPr>
          <w:p w14:paraId="139FF14B" w14:textId="77777777" w:rsidR="000A7297" w:rsidRDefault="00D65B12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Copy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Impress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Copiadora LTDA</w:t>
            </w:r>
          </w:p>
        </w:tc>
        <w:tc>
          <w:tcPr>
            <w:tcW w:w="2150" w:type="dxa"/>
          </w:tcPr>
          <w:p w14:paraId="79F88955" w14:textId="77777777" w:rsidR="000A7297" w:rsidRDefault="00D65B12" w:rsidP="00D65B1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</w:t>
            </w:r>
            <w:r w:rsidR="000A7297">
              <w:rPr>
                <w:rFonts w:ascii="Arial" w:eastAsia="Times New Roman" w:hAnsi="Arial" w:cs="Arial"/>
                <w:lang w:eastAsia="pt-BR"/>
              </w:rPr>
              <w:t>.</w:t>
            </w:r>
            <w:r>
              <w:rPr>
                <w:rFonts w:ascii="Arial" w:eastAsia="Times New Roman" w:hAnsi="Arial" w:cs="Arial"/>
                <w:lang w:eastAsia="pt-BR"/>
              </w:rPr>
              <w:t>600</w:t>
            </w:r>
            <w:r w:rsidR="000A7297">
              <w:rPr>
                <w:rFonts w:ascii="Arial" w:eastAsia="Times New Roman" w:hAnsi="Arial" w:cs="Arial"/>
                <w:lang w:eastAsia="pt-BR"/>
              </w:rPr>
              <w:t>,00 (mil trezentos e noventa e seis reais)</w:t>
            </w:r>
          </w:p>
        </w:tc>
        <w:tc>
          <w:tcPr>
            <w:tcW w:w="1804" w:type="dxa"/>
          </w:tcPr>
          <w:p w14:paraId="4EB97FD5" w14:textId="77777777" w:rsidR="000A7297" w:rsidRDefault="000A7297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22/10</w:t>
            </w:r>
          </w:p>
        </w:tc>
      </w:tr>
      <w:tr w:rsidR="00CA72C9" w14:paraId="42828A92" w14:textId="77777777" w:rsidTr="00B1091F">
        <w:tc>
          <w:tcPr>
            <w:tcW w:w="2539" w:type="dxa"/>
          </w:tcPr>
          <w:p w14:paraId="24F2A784" w14:textId="77777777" w:rsidR="00CA72C9" w:rsidRDefault="00CA72C9" w:rsidP="00B109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transporte de passageiro para encontro técnico do Tribunal de Contas</w:t>
            </w:r>
          </w:p>
        </w:tc>
        <w:tc>
          <w:tcPr>
            <w:tcW w:w="2567" w:type="dxa"/>
          </w:tcPr>
          <w:p w14:paraId="0C1131D2" w14:textId="77777777" w:rsidR="00CA72C9" w:rsidRDefault="00CA72C9" w:rsidP="00B1091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FMP Transporte LTDA-ME</w:t>
            </w:r>
          </w:p>
        </w:tc>
        <w:tc>
          <w:tcPr>
            <w:tcW w:w="2150" w:type="dxa"/>
          </w:tcPr>
          <w:p w14:paraId="0AB107FB" w14:textId="77777777" w:rsidR="00CA72C9" w:rsidRDefault="00CA72C9" w:rsidP="00D65B1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R$ 450,00 (quatrocentos e cinquenta reais)</w:t>
            </w:r>
          </w:p>
        </w:tc>
        <w:tc>
          <w:tcPr>
            <w:tcW w:w="1804" w:type="dxa"/>
          </w:tcPr>
          <w:p w14:paraId="448BCE9F" w14:textId="77777777" w:rsidR="00CA72C9" w:rsidRDefault="00CA72C9" w:rsidP="00B10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</w:t>
            </w:r>
          </w:p>
        </w:tc>
      </w:tr>
    </w:tbl>
    <w:p w14:paraId="250AD098" w14:textId="77777777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AF10A9F" w14:textId="77777777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Fernanda de Oliveira, </w:t>
      </w:r>
      <w:r w:rsidRPr="00D61F10">
        <w:rPr>
          <w:rFonts w:ascii="Times New Roman" w:hAnsi="Times New Roman" w:cs="Times New Roman"/>
          <w:sz w:val="28"/>
          <w:szCs w:val="28"/>
        </w:rPr>
        <w:t>CNPJ nº 31.666.358/0001-81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C314076" w14:textId="77777777" w:rsidR="000A7297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882F2BF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22A730E0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0AD0A7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50F350E3" w14:textId="77777777" w:rsidR="000A7297" w:rsidRPr="00F07050" w:rsidRDefault="000A7297" w:rsidP="000A7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172F37A" w14:textId="77777777" w:rsidR="000A7297" w:rsidRPr="00F07050" w:rsidRDefault="000A7297" w:rsidP="000A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51F36616" w14:textId="77777777" w:rsidR="000A7297" w:rsidRPr="00F07050" w:rsidRDefault="000A7297" w:rsidP="000A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1A040DF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7BE56D8B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BA87917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793A35A7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2940C0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4EA5F3F8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8D525A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feita a atualização semanal do Portal de Transparência da Câmara Municipal e do site, com informações sobre processo legislativo, licitações e contratos, e outras.</w:t>
      </w:r>
    </w:p>
    <w:p w14:paraId="7B9D17B1" w14:textId="77777777" w:rsidR="000A7297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A2C8B3" w14:textId="18CD7337" w:rsidR="000A7297" w:rsidRPr="00F07050" w:rsidRDefault="00FF15E6" w:rsidP="000A72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</w:t>
      </w:r>
      <w:bookmarkStart w:id="0" w:name="_GoBack"/>
      <w:bookmarkEnd w:id="0"/>
      <w:r w:rsidR="000A7297"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="000A7297"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 w:rsidR="000A729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="000A7297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14:paraId="03FA6E59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967EE5A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632FB801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8B2D8E1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36F366" w14:textId="77777777" w:rsidR="000A7297" w:rsidRDefault="00CA72C9" w:rsidP="000A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06</w:t>
      </w:r>
      <w:r w:rsidR="000A7297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="000A7297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0A7297"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="000A7297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7246AB9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B1EE670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7B4F79" w14:textId="77777777" w:rsidR="000A7297" w:rsidRPr="00F07050" w:rsidRDefault="000A7297" w:rsidP="000A7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____________________________________</w:t>
      </w:r>
    </w:p>
    <w:p w14:paraId="64A4A74D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14:paraId="1BB326B7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42E109FB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E48B14F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5C6F658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14:paraId="4CE57538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19CECAB9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D43EBD5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21BB0EF1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14:paraId="2038EEBF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432BDBE5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9FB71D" w14:textId="77777777" w:rsidR="000A7297" w:rsidRPr="00F07050" w:rsidRDefault="000A7297" w:rsidP="000A7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407B9E" w14:textId="77777777" w:rsidR="000A7297" w:rsidRPr="00F07050" w:rsidRDefault="000A7297" w:rsidP="000A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AD3636C" w14:textId="77777777" w:rsidR="000A7297" w:rsidRDefault="000A7297" w:rsidP="000A7297"/>
    <w:p w14:paraId="6A99E5FF" w14:textId="77777777" w:rsidR="000A7297" w:rsidRDefault="000A7297" w:rsidP="000A7297"/>
    <w:p w14:paraId="2D195795" w14:textId="77777777" w:rsidR="00BE235D" w:rsidRDefault="00BE235D"/>
    <w:sectPr w:rsidR="00BE235D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97"/>
    <w:rsid w:val="000A7297"/>
    <w:rsid w:val="004C550F"/>
    <w:rsid w:val="008F516D"/>
    <w:rsid w:val="00946791"/>
    <w:rsid w:val="00A1378F"/>
    <w:rsid w:val="00BE235D"/>
    <w:rsid w:val="00CA72C9"/>
    <w:rsid w:val="00D65B12"/>
    <w:rsid w:val="00F30457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0D69"/>
  <w15:chartTrackingRefBased/>
  <w15:docId w15:val="{4D702B6C-74A9-4D58-AEC4-C45F268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97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29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A7297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6815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2019-12-18T16:39:00Z</dcterms:created>
  <dcterms:modified xsi:type="dcterms:W3CDTF">2019-12-18T16:39:00Z</dcterms:modified>
</cp:coreProperties>
</file>