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AE5A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14:paraId="45DF89D6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10/2020</w:t>
      </w:r>
    </w:p>
    <w:p w14:paraId="2BB7BA19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26B2560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02, de 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2385BAFA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62E043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58424334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1190C11" w14:textId="58E52ADE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</w:t>
      </w:r>
      <w:r w:rsidRPr="008511B6">
        <w:rPr>
          <w:rFonts w:ascii="Times New Roman" w:eastAsia="Times New Roman" w:hAnsi="Times New Roman" w:cs="Times New Roman"/>
          <w:sz w:val="28"/>
          <w:szCs w:val="28"/>
          <w:lang w:eastAsia="pt-BR"/>
        </w:rPr>
        <w:t>de R$ 6</w:t>
      </w:r>
      <w:r w:rsidR="008511B6" w:rsidRPr="008511B6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8511B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8511B6" w:rsidRPr="008511B6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8511B6">
        <w:rPr>
          <w:rFonts w:ascii="Times New Roman" w:eastAsia="Times New Roman" w:hAnsi="Times New Roman" w:cs="Times New Roman"/>
          <w:sz w:val="28"/>
          <w:szCs w:val="28"/>
          <w:lang w:eastAsia="pt-BR"/>
        </w:rPr>
        <w:t>00,00.</w:t>
      </w:r>
    </w:p>
    <w:p w14:paraId="38F0AA6A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3C66DDE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6E7195EB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6914206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5D9E9826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83FDDF2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35325539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6FC2A0C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72E5ECFE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9C1B5EB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176CFD12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BDB75CC" w14:textId="77777777" w:rsidR="00ED5022" w:rsidRPr="00ED5022" w:rsidRDefault="00C768E5" w:rsidP="00C768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D5022">
        <w:rPr>
          <w:rFonts w:ascii="Times New Roman" w:eastAsia="Times New Roman" w:hAnsi="Times New Roman" w:cs="Times New Roman"/>
          <w:sz w:val="28"/>
          <w:szCs w:val="28"/>
          <w:lang w:eastAsia="pt-BR"/>
        </w:rPr>
        <w:t>Regime Geral da Previdência Social:</w:t>
      </w:r>
    </w:p>
    <w:p w14:paraId="4B356964" w14:textId="235323E6" w:rsidR="00C768E5" w:rsidRPr="00ED5022" w:rsidRDefault="00ED5022" w:rsidP="00ED502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D5022">
        <w:rPr>
          <w:rFonts w:ascii="Times New Roman" w:eastAsia="Times New Roman" w:hAnsi="Times New Roman" w:cs="Times New Roman"/>
          <w:sz w:val="28"/>
          <w:szCs w:val="28"/>
          <w:lang w:eastAsia="pt-BR"/>
        </w:rPr>
        <w:t>Patronal - 9.273,41</w:t>
      </w:r>
    </w:p>
    <w:p w14:paraId="4795022D" w14:textId="375F4F84" w:rsidR="00ED5022" w:rsidRPr="00ED5022" w:rsidRDefault="00ED5022" w:rsidP="00ED502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D5022">
        <w:rPr>
          <w:rFonts w:ascii="Times New Roman" w:eastAsia="Times New Roman" w:hAnsi="Times New Roman" w:cs="Times New Roman"/>
          <w:sz w:val="28"/>
          <w:szCs w:val="28"/>
          <w:lang w:eastAsia="pt-BR"/>
        </w:rPr>
        <w:t>Empregado - 3.669,63</w:t>
      </w:r>
    </w:p>
    <w:p w14:paraId="5B18F09A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66D32487" w14:textId="5BB98B46" w:rsidR="00C768E5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outubro as contas de “Depósitos” apresentaram um saldo total de R$ </w:t>
      </w:r>
      <w:r w:rsidR="00A54F01"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534,45</w:t>
      </w: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ED5022"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1,15</w:t>
      </w: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14:paraId="3714FF5F" w14:textId="7AFDE624" w:rsidR="00A54F01" w:rsidRPr="00F07050" w:rsidRDefault="00A54F01" w:rsidP="00A5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4F7A50"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534,45</w:t>
      </w: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</w:t>
      </w: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INSS – Instituto Nacional do Seguro Social, no total de R$ 1,15, correspondem a </w:t>
      </w:r>
      <w:r w:rsidR="004F7A50"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0,002</w:t>
      </w: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3B95AEF0" w14:textId="77777777" w:rsidR="00A54F01" w:rsidRPr="00F07050" w:rsidRDefault="00A54F01" w:rsidP="00A5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864F557" w14:textId="3F4D9DBC" w:rsidR="00A54F01" w:rsidRPr="004F7A50" w:rsidRDefault="00A54F01" w:rsidP="00A5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31/</w:t>
      </w:r>
      <w:r w:rsidR="004F7A50"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10</w:t>
      </w: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/2019 da seguinte forma: </w:t>
      </w:r>
    </w:p>
    <w:p w14:paraId="542507BC" w14:textId="77777777" w:rsidR="00A54F01" w:rsidRPr="004F7A50" w:rsidRDefault="00A54F01" w:rsidP="00A5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BA69E53" w14:textId="109F7D3D" w:rsidR="00A54F01" w:rsidRPr="004F7A50" w:rsidRDefault="004F7A50" w:rsidP="00A54F01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F7A50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3214A6A0" w14:textId="77777777" w:rsidR="00A54F01" w:rsidRPr="00F07050" w:rsidRDefault="00A54F01" w:rsidP="00A54F01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A54F01" w:rsidRPr="00F07050" w14:paraId="6D7D8E6F" w14:textId="77777777" w:rsidTr="005A78B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251C" w14:textId="77777777" w:rsidR="00A54F01" w:rsidRPr="004779EE" w:rsidRDefault="00A54F01" w:rsidP="005A78B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8CF8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F237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05F0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BFD9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C4BF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8FDA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A54F01" w:rsidRPr="00F07050" w14:paraId="68F0FFCA" w14:textId="77777777" w:rsidTr="005A78B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E3C47" w14:textId="77777777" w:rsidR="00A54F01" w:rsidRPr="004779EE" w:rsidRDefault="00A54F01" w:rsidP="005A78B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1E52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72846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0E245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2691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556AE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080E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A54F01" w:rsidRPr="00F07050" w14:paraId="18565F3D" w14:textId="77777777" w:rsidTr="005A78B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C838" w14:textId="77777777" w:rsidR="00A54F01" w:rsidRPr="004779EE" w:rsidRDefault="00A54F01" w:rsidP="005A78B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CC08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37E1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AA8E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A7B6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A558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F719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54F01" w:rsidRPr="00F07050" w14:paraId="4FBC7F9C" w14:textId="77777777" w:rsidTr="005A78B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6307" w14:textId="77777777" w:rsidR="00A54F01" w:rsidRPr="004779EE" w:rsidRDefault="00A54F01" w:rsidP="005A78B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E266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1.207,07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619C" w14:textId="7946EB13" w:rsidR="00A54F01" w:rsidRPr="004779EE" w:rsidRDefault="004F7A50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6F92" w14:textId="100E84CC" w:rsidR="00A54F01" w:rsidRPr="004779EE" w:rsidRDefault="004F7A50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FBF9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1,204,99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4151" w14:textId="4F163002" w:rsidR="00A54F01" w:rsidRPr="004779EE" w:rsidRDefault="004F7A50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B3AA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14:paraId="0D787172" w14:textId="77777777" w:rsidR="00A54F01" w:rsidRPr="00F07050" w:rsidRDefault="00A54F01" w:rsidP="00A54F01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14:paraId="60A4D9DC" w14:textId="77777777" w:rsidR="00A54F01" w:rsidRPr="004779EE" w:rsidRDefault="00A54F01" w:rsidP="00A54F01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Restos a Pagar </w:t>
      </w:r>
      <w:r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Não </w:t>
      </w:r>
      <w:r w:rsidRPr="004779EE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Processados</w:t>
      </w:r>
    </w:p>
    <w:p w14:paraId="2F46B6A6" w14:textId="77777777" w:rsidR="00A54F01" w:rsidRPr="00F07050" w:rsidRDefault="00A54F01" w:rsidP="00A54F01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A54F01" w:rsidRPr="00F07050" w14:paraId="09E77A34" w14:textId="77777777" w:rsidTr="005A78B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BD18" w14:textId="77777777" w:rsidR="00A54F01" w:rsidRPr="004779EE" w:rsidRDefault="00A54F01" w:rsidP="005A78B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23CD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4065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4320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F3B2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E209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3C19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A54F01" w:rsidRPr="00F07050" w14:paraId="16D34B6F" w14:textId="77777777" w:rsidTr="005A78B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7DEAE" w14:textId="77777777" w:rsidR="00A54F01" w:rsidRPr="004779EE" w:rsidRDefault="00A54F01" w:rsidP="005A78B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1 - 201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67F1F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2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78DCC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7942A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BECEB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2845,00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CCF29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1EEE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A54F01" w:rsidRPr="00F07050" w14:paraId="3CF4C225" w14:textId="77777777" w:rsidTr="005A78B2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92ED" w14:textId="77777777" w:rsidR="00A54F01" w:rsidRPr="004779EE" w:rsidRDefault="00A54F01" w:rsidP="005A78B2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Sutotal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7161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2.845,00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6390" w14:textId="77777777" w:rsidR="00A54F01" w:rsidRPr="004779EE" w:rsidRDefault="00A54F01" w:rsidP="005A78B2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7689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3CD7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2845,00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BA21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5C68" w14:textId="77777777" w:rsidR="00A54F01" w:rsidRPr="004779EE" w:rsidRDefault="00A54F01" w:rsidP="005A78B2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4779EE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</w:tbl>
    <w:p w14:paraId="423D67C0" w14:textId="77777777" w:rsidR="00A54F01" w:rsidRPr="00F07050" w:rsidRDefault="00A54F01" w:rsidP="00A54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171FA063" w14:textId="77777777" w:rsidR="00A54F01" w:rsidRPr="00F07050" w:rsidRDefault="00A54F01" w:rsidP="004F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3358ABC4" w14:textId="2B8E5C63" w:rsidR="00A54F01" w:rsidRPr="00F07050" w:rsidRDefault="00A54F01" w:rsidP="00A54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</w:t>
      </w:r>
      <w:r w:rsid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4F7A50"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utubro</w:t>
      </w: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2020 apresentaram um saldo de R$ </w:t>
      </w:r>
      <w:r w:rsidR="004F7A50"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130.820,14</w:t>
      </w:r>
      <w:r w:rsidRPr="004F7A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43FA9AA" w14:textId="77777777" w:rsidR="00C768E5" w:rsidRPr="00F07050" w:rsidRDefault="00C768E5" w:rsidP="00A54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4C61E570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2ABE8E1" w14:textId="4292D5C2" w:rsidR="00C768E5" w:rsidRPr="00F07050" w:rsidRDefault="0086223D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houve g</w:t>
      </w:r>
      <w:r w:rsidR="00C768E5">
        <w:rPr>
          <w:rFonts w:ascii="Times New Roman" w:eastAsia="Times New Roman" w:hAnsi="Times New Roman" w:cs="Times New Roman"/>
          <w:sz w:val="28"/>
          <w:szCs w:val="28"/>
          <w:lang w:eastAsia="pt-BR"/>
        </w:rPr>
        <w:t>ast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 com publicidade institucional.</w:t>
      </w:r>
    </w:p>
    <w:p w14:paraId="7811EEDB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3052FB5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59041F2D" w14:textId="77777777" w:rsidR="00C768E5" w:rsidRPr="00F07050" w:rsidRDefault="00C768E5" w:rsidP="00C768E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C768E5" w:rsidRPr="00F07050" w14:paraId="09BC0E99" w14:textId="77777777" w:rsidTr="004C5B0A">
        <w:tc>
          <w:tcPr>
            <w:tcW w:w="2539" w:type="dxa"/>
          </w:tcPr>
          <w:p w14:paraId="0E2CD4D2" w14:textId="77777777" w:rsidR="00C768E5" w:rsidRPr="00F07050" w:rsidRDefault="00C768E5" w:rsidP="004C5B0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68ED3D1A" w14:textId="77777777" w:rsidR="00C768E5" w:rsidRPr="00F07050" w:rsidRDefault="00C768E5" w:rsidP="004C5B0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704DECDA" w14:textId="77777777" w:rsidR="00C768E5" w:rsidRPr="00F07050" w:rsidRDefault="00C768E5" w:rsidP="004C5B0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7884624D" w14:textId="77777777" w:rsidR="00C768E5" w:rsidRPr="00F07050" w:rsidRDefault="00C768E5" w:rsidP="004C5B0A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C768E5" w:rsidRPr="00F07050" w14:paraId="224610FB" w14:textId="77777777" w:rsidTr="004C5B0A">
        <w:tc>
          <w:tcPr>
            <w:tcW w:w="2539" w:type="dxa"/>
          </w:tcPr>
          <w:p w14:paraId="0E88C958" w14:textId="77777777" w:rsidR="00C768E5" w:rsidRPr="00F07050" w:rsidRDefault="00C768E5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30A0EC91" w14:textId="77777777" w:rsidR="00C768E5" w:rsidRPr="00F07050" w:rsidRDefault="00C768E5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28A047FA" w14:textId="77777777" w:rsidR="00C768E5" w:rsidRPr="00F07050" w:rsidRDefault="005D59E0" w:rsidP="005D59E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R$ 42</w:t>
            </w:r>
            <w:r w:rsidR="00C768E5">
              <w:rPr>
                <w:rFonts w:ascii="Arial" w:eastAsia="Times New Roman" w:hAnsi="Arial" w:cs="Arial"/>
                <w:lang w:eastAsia="pt-BR"/>
              </w:rPr>
              <w:t>0,00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quatrocentos e vinte </w:t>
            </w:r>
            <w:r w:rsidR="00C768E5"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27F5F85F" w14:textId="77777777" w:rsidR="00C768E5" w:rsidRPr="00F07050" w:rsidRDefault="005D59E0" w:rsidP="005D5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</w:t>
            </w:r>
            <w:r w:rsidR="00C768E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20/10, 26/10</w:t>
            </w:r>
          </w:p>
        </w:tc>
      </w:tr>
      <w:tr w:rsidR="005D59E0" w:rsidRPr="00F07050" w14:paraId="0F3AECE5" w14:textId="77777777" w:rsidTr="004C5B0A">
        <w:tc>
          <w:tcPr>
            <w:tcW w:w="2539" w:type="dxa"/>
          </w:tcPr>
          <w:p w14:paraId="7506370F" w14:textId="77777777" w:rsidR="005D59E0" w:rsidRPr="00F07050" w:rsidRDefault="005D59E0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Aquisição de lanche para os dias de reunião</w:t>
            </w:r>
          </w:p>
        </w:tc>
        <w:tc>
          <w:tcPr>
            <w:tcW w:w="2567" w:type="dxa"/>
          </w:tcPr>
          <w:p w14:paraId="0A7B3E67" w14:textId="77777777" w:rsidR="005D59E0" w:rsidRPr="00F07050" w:rsidRDefault="005D59E0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Ana Costa dos Anjos</w:t>
            </w:r>
          </w:p>
        </w:tc>
        <w:tc>
          <w:tcPr>
            <w:tcW w:w="2150" w:type="dxa"/>
          </w:tcPr>
          <w:p w14:paraId="3515A3F3" w14:textId="77777777" w:rsidR="005D59E0" w:rsidRDefault="005D59E0" w:rsidP="005D59E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R$ 834,00 (oitocentos e trinta e quatro reais)</w:t>
            </w:r>
          </w:p>
        </w:tc>
        <w:tc>
          <w:tcPr>
            <w:tcW w:w="1804" w:type="dxa"/>
          </w:tcPr>
          <w:p w14:paraId="1A3F7367" w14:textId="77777777" w:rsidR="005D59E0" w:rsidRDefault="005D59E0" w:rsidP="005D5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06/10, 30/10</w:t>
            </w:r>
          </w:p>
        </w:tc>
      </w:tr>
      <w:tr w:rsidR="00C768E5" w:rsidRPr="00F07050" w14:paraId="294B1E45" w14:textId="77777777" w:rsidTr="004C5B0A">
        <w:tc>
          <w:tcPr>
            <w:tcW w:w="2539" w:type="dxa"/>
          </w:tcPr>
          <w:p w14:paraId="629EC2B0" w14:textId="77777777" w:rsidR="00C768E5" w:rsidRPr="00F07050" w:rsidRDefault="005D59E0" w:rsidP="004C5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consumo</w:t>
            </w:r>
          </w:p>
        </w:tc>
        <w:tc>
          <w:tcPr>
            <w:tcW w:w="2567" w:type="dxa"/>
          </w:tcPr>
          <w:p w14:paraId="7F9FCE4C" w14:textId="77777777" w:rsidR="00C768E5" w:rsidRPr="00F07050" w:rsidRDefault="005D59E0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Geraldo Lúcio </w:t>
            </w:r>
            <w:proofErr w:type="spellStart"/>
            <w:r>
              <w:rPr>
                <w:rFonts w:ascii="Arial" w:hAnsi="Arial" w:cs="Arial"/>
              </w:rPr>
              <w:t>Cantarino</w:t>
            </w:r>
            <w:proofErr w:type="spellEnd"/>
          </w:p>
        </w:tc>
        <w:tc>
          <w:tcPr>
            <w:tcW w:w="2150" w:type="dxa"/>
          </w:tcPr>
          <w:p w14:paraId="30BA3D2F" w14:textId="77777777" w:rsidR="00C768E5" w:rsidRPr="00F07050" w:rsidRDefault="005D59E0" w:rsidP="005D59E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R$ 93</w:t>
            </w:r>
            <w:r w:rsidR="00C768E5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>noventa e três</w:t>
            </w:r>
            <w:r w:rsidR="00C768E5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14:paraId="73CA0C69" w14:textId="77777777" w:rsidR="00C768E5" w:rsidRPr="00F07050" w:rsidRDefault="005D59E0" w:rsidP="004C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</w:t>
            </w:r>
          </w:p>
        </w:tc>
      </w:tr>
      <w:tr w:rsidR="00C768E5" w:rsidRPr="00F07050" w14:paraId="48112FBF" w14:textId="77777777" w:rsidTr="004C5B0A">
        <w:tc>
          <w:tcPr>
            <w:tcW w:w="2539" w:type="dxa"/>
          </w:tcPr>
          <w:p w14:paraId="41D4F5F0" w14:textId="77777777" w:rsidR="00C768E5" w:rsidRDefault="00C768E5" w:rsidP="004C5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Aquisição de material de consumo, gêneros alimentício e limpeza</w:t>
            </w:r>
          </w:p>
        </w:tc>
        <w:tc>
          <w:tcPr>
            <w:tcW w:w="2567" w:type="dxa"/>
          </w:tcPr>
          <w:p w14:paraId="21EBCCDC" w14:textId="77777777" w:rsidR="00C768E5" w:rsidRDefault="00C768E5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6E1ED123" w14:textId="77777777" w:rsidR="00C768E5" w:rsidRPr="00F07050" w:rsidRDefault="00C768E5" w:rsidP="005D59E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5D59E0">
              <w:rPr>
                <w:rFonts w:ascii="Arial" w:eastAsia="Times New Roman" w:hAnsi="Arial" w:cs="Arial"/>
                <w:lang w:eastAsia="pt-BR"/>
              </w:rPr>
              <w:t>419,02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5D59E0">
              <w:rPr>
                <w:rFonts w:ascii="Arial" w:eastAsia="Times New Roman" w:hAnsi="Arial" w:cs="Arial"/>
                <w:lang w:eastAsia="pt-BR"/>
              </w:rPr>
              <w:t xml:space="preserve">quatrocentos e dezenove reais e dois </w:t>
            </w:r>
            <w:r>
              <w:rPr>
                <w:rFonts w:ascii="Arial" w:eastAsia="Times New Roman" w:hAnsi="Arial" w:cs="Arial"/>
                <w:lang w:eastAsia="pt-BR"/>
              </w:rPr>
              <w:t>centavos)</w:t>
            </w:r>
          </w:p>
        </w:tc>
        <w:tc>
          <w:tcPr>
            <w:tcW w:w="1804" w:type="dxa"/>
          </w:tcPr>
          <w:p w14:paraId="2F4A14EA" w14:textId="77777777" w:rsidR="00C768E5" w:rsidRDefault="005D59E0" w:rsidP="004C5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768E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</w:p>
        </w:tc>
      </w:tr>
      <w:tr w:rsidR="00C768E5" w:rsidRPr="00F07050" w14:paraId="08F4D2C8" w14:textId="77777777" w:rsidTr="004C5B0A">
        <w:tc>
          <w:tcPr>
            <w:tcW w:w="2539" w:type="dxa"/>
          </w:tcPr>
          <w:p w14:paraId="56618AF3" w14:textId="77777777" w:rsidR="00C768E5" w:rsidRDefault="005D59E0" w:rsidP="004C5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14:paraId="771C80F0" w14:textId="77777777" w:rsidR="00C768E5" w:rsidRDefault="005D59E0" w:rsidP="004C5B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14:paraId="1B8B7046" w14:textId="77777777" w:rsidR="00C768E5" w:rsidRDefault="00C768E5" w:rsidP="005D59E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5D59E0">
              <w:rPr>
                <w:rFonts w:ascii="Arial" w:eastAsia="Times New Roman" w:hAnsi="Arial" w:cs="Arial"/>
                <w:lang w:eastAsia="pt-BR"/>
              </w:rPr>
              <w:t>15,55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5D59E0">
              <w:rPr>
                <w:rFonts w:ascii="Arial" w:eastAsia="Times New Roman" w:hAnsi="Arial" w:cs="Arial"/>
                <w:lang w:eastAsia="pt-BR"/>
              </w:rPr>
              <w:t>quinze reais e cinquenta e cinco</w:t>
            </w:r>
            <w:r>
              <w:rPr>
                <w:rFonts w:ascii="Arial" w:eastAsia="Times New Roman" w:hAnsi="Arial" w:cs="Arial"/>
                <w:lang w:eastAsia="pt-BR"/>
              </w:rPr>
              <w:t xml:space="preserve"> centavos)</w:t>
            </w:r>
          </w:p>
        </w:tc>
        <w:tc>
          <w:tcPr>
            <w:tcW w:w="1804" w:type="dxa"/>
          </w:tcPr>
          <w:p w14:paraId="4F5EF549" w14:textId="77777777" w:rsidR="00C768E5" w:rsidRDefault="0086223D" w:rsidP="00862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68E5">
              <w:rPr>
                <w:rFonts w:ascii="Arial" w:hAnsi="Arial" w:cs="Arial"/>
              </w:rPr>
              <w:t>0/</w:t>
            </w:r>
            <w:r>
              <w:rPr>
                <w:rFonts w:ascii="Arial" w:hAnsi="Arial" w:cs="Arial"/>
              </w:rPr>
              <w:t>1</w:t>
            </w:r>
            <w:r w:rsidR="00C768E5">
              <w:rPr>
                <w:rFonts w:ascii="Arial" w:hAnsi="Arial" w:cs="Arial"/>
              </w:rPr>
              <w:t>0</w:t>
            </w:r>
          </w:p>
        </w:tc>
      </w:tr>
    </w:tbl>
    <w:p w14:paraId="3346ED4B" w14:textId="77777777" w:rsidR="00C768E5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30A1749" w14:textId="77777777" w:rsidR="00C768E5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752C1878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7B3A257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0167A911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0CDB344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6E62F31F" w14:textId="77777777" w:rsidR="00C768E5" w:rsidRPr="00F07050" w:rsidRDefault="00C768E5" w:rsidP="00C76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515D32C" w14:textId="77777777" w:rsidR="00C768E5" w:rsidRPr="00F07050" w:rsidRDefault="00C768E5" w:rsidP="00C7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115327AA" w14:textId="77777777" w:rsidR="00C768E5" w:rsidRPr="00F07050" w:rsidRDefault="00C768E5" w:rsidP="00C7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E254EB8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3849B7E5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F2097DE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206F0B06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F06A3E5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1CCA634F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507C62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79C0754B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760B934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04ADDC95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CF3E7B2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0C478B" w14:textId="77777777" w:rsidR="00C768E5" w:rsidRPr="00F07050" w:rsidRDefault="000C13E8" w:rsidP="00C7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05</w:t>
      </w:r>
      <w:r w:rsidR="00C768E5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="00C768E5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C768E5">
        <w:rPr>
          <w:rFonts w:ascii="Times New Roman" w:eastAsia="Times New Roman" w:hAnsi="Times New Roman" w:cs="Times New Roman"/>
          <w:sz w:val="28"/>
          <w:szCs w:val="28"/>
          <w:lang w:eastAsia="pt-BR"/>
        </w:rPr>
        <w:t>2020</w:t>
      </w:r>
      <w:r w:rsidR="00C768E5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76217BF4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D9D4562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57BC9A6" w14:textId="77777777" w:rsidR="00C768E5" w:rsidRPr="00F07050" w:rsidRDefault="00C768E5" w:rsidP="00C7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48F3A152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Rafael Alberto Mourão</w:t>
      </w:r>
    </w:p>
    <w:p w14:paraId="4580B396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75765170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71F2E9F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624C6A31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Helder Campos Camilo</w:t>
      </w:r>
    </w:p>
    <w:p w14:paraId="2892D13D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2371D92B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1A50F73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144E9DE6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270C4258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1C59EFE1" w14:textId="77777777" w:rsidR="00C768E5" w:rsidRPr="00F07050" w:rsidRDefault="00C768E5" w:rsidP="00C7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1545046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98567C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AB0B6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99EB8A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EDFA88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B0EE61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B5B0D8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4E0B63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17A24A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B9DC1A" w14:textId="77777777" w:rsidR="00C768E5" w:rsidRPr="00F07050" w:rsidRDefault="00C768E5" w:rsidP="00C7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3DCEE0" w14:textId="77777777" w:rsidR="00C768E5" w:rsidRDefault="00C768E5" w:rsidP="00C768E5"/>
    <w:p w14:paraId="063643EA" w14:textId="77777777" w:rsidR="00C768E5" w:rsidRDefault="00C768E5" w:rsidP="00C768E5"/>
    <w:p w14:paraId="6AD827FF" w14:textId="77777777" w:rsidR="00C768E5" w:rsidRDefault="00C768E5" w:rsidP="00C768E5"/>
    <w:p w14:paraId="01834020" w14:textId="77777777" w:rsidR="00C768E5" w:rsidRDefault="00C768E5" w:rsidP="00C768E5"/>
    <w:p w14:paraId="233FC10D" w14:textId="77777777" w:rsidR="00C768E5" w:rsidRDefault="00C768E5" w:rsidP="00C768E5"/>
    <w:p w14:paraId="5FDDD6C1" w14:textId="77777777" w:rsidR="00C768E5" w:rsidRDefault="00C768E5" w:rsidP="00C768E5"/>
    <w:p w14:paraId="5C8496F2" w14:textId="77777777" w:rsidR="00C768E5" w:rsidRDefault="00C768E5" w:rsidP="00C768E5"/>
    <w:p w14:paraId="659FA890" w14:textId="77777777" w:rsidR="00C768E5" w:rsidRDefault="00C768E5" w:rsidP="00C768E5"/>
    <w:p w14:paraId="391296AC" w14:textId="77777777" w:rsidR="00C768E5" w:rsidRDefault="00C768E5" w:rsidP="00C768E5"/>
    <w:p w14:paraId="192B0FB7" w14:textId="77777777" w:rsidR="00C768E5" w:rsidRDefault="00C768E5" w:rsidP="00C768E5"/>
    <w:p w14:paraId="2406A10B" w14:textId="77777777" w:rsidR="00C768E5" w:rsidRDefault="00C768E5" w:rsidP="00C768E5"/>
    <w:p w14:paraId="2D5CFA5D" w14:textId="77777777" w:rsidR="00C768E5" w:rsidRDefault="00C768E5" w:rsidP="00C768E5"/>
    <w:p w14:paraId="62FD93AE" w14:textId="77777777" w:rsidR="00C768E5" w:rsidRDefault="00C768E5" w:rsidP="00C768E5"/>
    <w:p w14:paraId="35176882" w14:textId="77777777" w:rsidR="00C768E5" w:rsidRDefault="00C768E5" w:rsidP="00C768E5"/>
    <w:p w14:paraId="5E110516" w14:textId="77777777" w:rsidR="00C768E5" w:rsidRDefault="00C768E5" w:rsidP="00C768E5"/>
    <w:p w14:paraId="4DFD103B" w14:textId="77777777" w:rsidR="00C768E5" w:rsidRDefault="00C768E5" w:rsidP="00C768E5"/>
    <w:p w14:paraId="00648F37" w14:textId="77777777" w:rsidR="00C768E5" w:rsidRDefault="00C768E5" w:rsidP="00C768E5"/>
    <w:p w14:paraId="2CD6D40C" w14:textId="77777777"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6C59"/>
    <w:multiLevelType w:val="hybridMultilevel"/>
    <w:tmpl w:val="E80EE568"/>
    <w:lvl w:ilvl="0" w:tplc="0416000F">
      <w:start w:val="1"/>
      <w:numFmt w:val="decimal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38316EE2"/>
    <w:multiLevelType w:val="hybridMultilevel"/>
    <w:tmpl w:val="DC621D5C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5"/>
    <w:rsid w:val="000C13E8"/>
    <w:rsid w:val="004F7A50"/>
    <w:rsid w:val="005D59E0"/>
    <w:rsid w:val="00822FFC"/>
    <w:rsid w:val="008511B6"/>
    <w:rsid w:val="0086223D"/>
    <w:rsid w:val="008F516D"/>
    <w:rsid w:val="00946791"/>
    <w:rsid w:val="00A54F01"/>
    <w:rsid w:val="00BE235D"/>
    <w:rsid w:val="00C768E5"/>
    <w:rsid w:val="00D32152"/>
    <w:rsid w:val="00E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C612"/>
  <w15:chartTrackingRefBased/>
  <w15:docId w15:val="{1CF7FB7B-FB66-42E2-BD26-C2C653D9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E5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68E5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768E5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D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4904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2021-04-09T16:47:00Z</dcterms:created>
  <dcterms:modified xsi:type="dcterms:W3CDTF">2021-04-09T16:47:00Z</dcterms:modified>
</cp:coreProperties>
</file>